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2BB" w:rsidRDefault="007B32BB" w:rsidP="007B32BB">
      <w:pPr>
        <w:pStyle w:val="Titre"/>
        <w:jc w:val="right"/>
      </w:pPr>
      <w:r>
        <w:rPr>
          <w:noProof/>
        </w:rPr>
        <w:drawing>
          <wp:inline distT="0" distB="0" distL="0" distR="0" wp14:anchorId="5ADD2A24" wp14:editId="71A67ED1">
            <wp:extent cx="1861820" cy="51486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074" cy="527380"/>
                    </a:xfrm>
                    <a:prstGeom prst="rect">
                      <a:avLst/>
                    </a:prstGeom>
                    <a:noFill/>
                  </pic:spPr>
                </pic:pic>
              </a:graphicData>
            </a:graphic>
          </wp:inline>
        </w:drawing>
      </w:r>
    </w:p>
    <w:p w:rsidR="007B32BB" w:rsidRDefault="007B32BB" w:rsidP="007B32BB">
      <w:pPr>
        <w:pStyle w:val="Titre"/>
      </w:pPr>
      <w:r>
        <w:t>FICHE D</w:t>
      </w:r>
      <w:r w:rsidR="004F1C5D">
        <w:t xml:space="preserve">E </w:t>
      </w:r>
      <w:bookmarkStart w:id="0" w:name="_GoBack"/>
      <w:bookmarkEnd w:id="0"/>
      <w:r>
        <w:t xml:space="preserve">POSITIONNEMENT SUR LES ATTENDUS DE FIN DE FORMATION </w:t>
      </w:r>
    </w:p>
    <w:p w:rsidR="007B32BB" w:rsidRPr="007B32BB" w:rsidRDefault="007B32BB" w:rsidP="007B32BB">
      <w:pPr>
        <w:pStyle w:val="Textbody"/>
        <w:jc w:val="center"/>
        <w:rPr>
          <w:rFonts w:ascii="Arial" w:hAnsi="Arial" w:cs="Arial"/>
          <w:b/>
          <w:i/>
          <w:color w:val="2F5496" w:themeColor="accent1" w:themeShade="BF"/>
          <w:sz w:val="20"/>
          <w:szCs w:val="20"/>
        </w:rPr>
      </w:pPr>
      <w:r w:rsidRPr="007B32BB">
        <w:rPr>
          <w:rFonts w:ascii="Arial" w:hAnsi="Arial" w:cs="Arial"/>
          <w:b/>
          <w:i/>
          <w:color w:val="2F5496" w:themeColor="accent1" w:themeShade="BF"/>
          <w:sz w:val="20"/>
          <w:szCs w:val="20"/>
        </w:rPr>
        <w:t>(Remarque : tous les attendus ne sont pas obligatoirement à positionner durant le stage)</w:t>
      </w:r>
    </w:p>
    <w:p w:rsidR="007B32BB" w:rsidRDefault="007B32BB" w:rsidP="007B32BB">
      <w:pPr>
        <w:pStyle w:val="Standard"/>
        <w:spacing w:after="0" w:line="240" w:lineRule="auto"/>
        <w:jc w:val="both"/>
        <w:rPr>
          <w:rFonts w:ascii="Arial" w:hAnsi="Arial" w:cs="Arial"/>
          <w:b/>
          <w:color w:val="262626"/>
          <w:sz w:val="18"/>
          <w:szCs w:val="18"/>
          <w:lang w:eastAsia="fr-FR"/>
        </w:rPr>
      </w:pPr>
    </w:p>
    <w:tbl>
      <w:tblPr>
        <w:tblW w:w="9618" w:type="dxa"/>
        <w:tblCellMar>
          <w:left w:w="70" w:type="dxa"/>
          <w:right w:w="70" w:type="dxa"/>
        </w:tblCellMar>
        <w:tblLook w:val="04A0" w:firstRow="1" w:lastRow="0" w:firstColumn="1" w:lastColumn="0" w:noHBand="0" w:noVBand="1"/>
      </w:tblPr>
      <w:tblGrid>
        <w:gridCol w:w="1653"/>
        <w:gridCol w:w="820"/>
        <w:gridCol w:w="2975"/>
        <w:gridCol w:w="2085"/>
        <w:gridCol w:w="2085"/>
      </w:tblGrid>
      <w:tr w:rsidR="007B32BB" w:rsidRPr="00EE4A9C" w:rsidTr="009545D8">
        <w:trPr>
          <w:trHeight w:val="600"/>
        </w:trPr>
        <w:tc>
          <w:tcPr>
            <w:tcW w:w="544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D313FD" w:rsidRDefault="007B32BB" w:rsidP="009545D8">
            <w:pPr>
              <w:widowControl/>
              <w:jc w:val="center"/>
              <w:rPr>
                <w:rFonts w:ascii="Calibri" w:eastAsia="Times New Roman" w:hAnsi="Calibri" w:cs="Calibri"/>
                <w:b/>
                <w:color w:val="000000"/>
                <w:sz w:val="20"/>
                <w:szCs w:val="20"/>
                <w:lang w:eastAsia="fr-FR" w:bidi="ar-SA"/>
              </w:rPr>
            </w:pPr>
            <w:proofErr w:type="spellStart"/>
            <w:r w:rsidRPr="00D313FD">
              <w:rPr>
                <w:rFonts w:ascii="Calibri" w:eastAsia="Times New Roman" w:hAnsi="Calibri" w:cs="Calibri"/>
                <w:b/>
                <w:color w:val="000000"/>
                <w:sz w:val="20"/>
                <w:szCs w:val="20"/>
                <w:lang w:eastAsia="fr-FR" w:bidi="ar-SA"/>
              </w:rPr>
              <w:t>Auto</w:t>
            </w:r>
            <w:r>
              <w:rPr>
                <w:rFonts w:ascii="Calibri" w:eastAsia="Times New Roman" w:hAnsi="Calibri" w:cs="Calibri"/>
                <w:b/>
                <w:color w:val="000000"/>
                <w:sz w:val="20"/>
                <w:szCs w:val="20"/>
                <w:lang w:eastAsia="fr-FR" w:bidi="ar-SA"/>
              </w:rPr>
              <w:t>-</w:t>
            </w:r>
            <w:proofErr w:type="gramStart"/>
            <w:r w:rsidRPr="00D313FD">
              <w:rPr>
                <w:rFonts w:ascii="Calibri" w:eastAsia="Times New Roman" w:hAnsi="Calibri" w:cs="Calibri"/>
                <w:b/>
                <w:color w:val="000000"/>
                <w:sz w:val="20"/>
                <w:szCs w:val="20"/>
                <w:lang w:eastAsia="fr-FR" w:bidi="ar-SA"/>
              </w:rPr>
              <w:t>positionnement</w:t>
            </w:r>
            <w:proofErr w:type="spellEnd"/>
            <w:r w:rsidRPr="00D313FD">
              <w:rPr>
                <w:rFonts w:ascii="Calibri" w:eastAsia="Times New Roman" w:hAnsi="Calibri" w:cs="Calibri"/>
                <w:b/>
                <w:color w:val="000000"/>
                <w:sz w:val="20"/>
                <w:szCs w:val="20"/>
                <w:lang w:eastAsia="fr-FR" w:bidi="ar-SA"/>
              </w:rPr>
              <w:t xml:space="preserve">  par</w:t>
            </w:r>
            <w:proofErr w:type="gramEnd"/>
            <w:r w:rsidRPr="00D313FD">
              <w:rPr>
                <w:rFonts w:ascii="Calibri" w:eastAsia="Times New Roman" w:hAnsi="Calibri" w:cs="Calibri"/>
                <w:b/>
                <w:color w:val="000000"/>
                <w:sz w:val="20"/>
                <w:szCs w:val="20"/>
                <w:lang w:eastAsia="fr-FR" w:bidi="ar-SA"/>
              </w:rPr>
              <w:t xml:space="preserve"> l’étudiant contractuel</w:t>
            </w:r>
          </w:p>
        </w:tc>
        <w:tc>
          <w:tcPr>
            <w:tcW w:w="2085" w:type="dxa"/>
            <w:tcBorders>
              <w:top w:val="nil"/>
              <w:left w:val="nil"/>
              <w:bottom w:val="single" w:sz="8" w:space="0" w:color="auto"/>
              <w:right w:val="single" w:sz="8" w:space="0" w:color="auto"/>
            </w:tcBorders>
          </w:tcPr>
          <w:p w:rsidR="007B32BB" w:rsidRPr="00D313FD" w:rsidRDefault="007B32BB" w:rsidP="009545D8">
            <w:pPr>
              <w:widowControl/>
              <w:jc w:val="center"/>
              <w:rPr>
                <w:rFonts w:ascii="Calibri" w:eastAsia="Times New Roman" w:hAnsi="Calibri" w:cs="Calibri"/>
                <w:b/>
                <w:color w:val="000000"/>
                <w:sz w:val="20"/>
                <w:szCs w:val="20"/>
                <w:lang w:eastAsia="fr-FR" w:bidi="ar-SA"/>
              </w:rPr>
            </w:pPr>
            <w:r>
              <w:rPr>
                <w:rFonts w:ascii="Calibri" w:eastAsia="Times New Roman" w:hAnsi="Calibri" w:cs="Calibri"/>
                <w:b/>
                <w:color w:val="000000"/>
                <w:sz w:val="20"/>
                <w:szCs w:val="20"/>
                <w:lang w:eastAsia="fr-FR" w:bidi="ar-SA"/>
              </w:rPr>
              <w:t>P</w:t>
            </w:r>
            <w:r w:rsidRPr="00D313FD">
              <w:rPr>
                <w:rFonts w:ascii="Calibri" w:eastAsia="Times New Roman" w:hAnsi="Calibri" w:cs="Calibri"/>
                <w:b/>
                <w:color w:val="000000"/>
                <w:sz w:val="20"/>
                <w:szCs w:val="20"/>
                <w:lang w:eastAsia="fr-FR" w:bidi="ar-SA"/>
              </w:rPr>
              <w:t>ositionnement par le tuteur</w:t>
            </w:r>
          </w:p>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B32BB" w:rsidRPr="00EE4A9C" w:rsidRDefault="007B32BB" w:rsidP="009545D8">
            <w:pPr>
              <w:widowControl/>
              <w:jc w:val="center"/>
              <w:rPr>
                <w:rFonts w:ascii="Arial" w:eastAsia="Times New Roman" w:hAnsi="Arial" w:cs="Arial"/>
                <w:b/>
                <w:bCs/>
                <w:color w:val="000000"/>
                <w:sz w:val="20"/>
                <w:szCs w:val="20"/>
                <w:lang w:eastAsia="fr-FR" w:bidi="ar-SA"/>
              </w:rPr>
            </w:pPr>
            <w:r w:rsidRPr="00EE4A9C">
              <w:rPr>
                <w:rFonts w:ascii="Arial" w:eastAsia="Times New Roman" w:hAnsi="Arial" w:cs="Arial"/>
                <w:b/>
                <w:bCs/>
                <w:color w:val="000000"/>
                <w:sz w:val="20"/>
                <w:szCs w:val="20"/>
                <w:lang w:eastAsia="fr-FR" w:bidi="ar-SA"/>
              </w:rPr>
              <w:t>Le professeur, acteur de la communauté éducative et du service public de l’éducation nationale</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Fonde son action sur les principes et enjeux du système les valeurs de l’école républicaine, le référentiel et le cadre réglementaire et éthique du métier</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Respecte et fait respecter les principes d’égalité, de laïcité, d’équité, de tolérance et de refus de toute discrimination</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A-3</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Répond aux exigences d’assiduité, ponctualité, sécurité des élèves et confidentialité</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A-4</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Adopte une attitude et un positionnement responsable dans la classe et dans l’établissement</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A-5</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Accompagne les élèves dans le développement de leurs compétences sociales et citoyennes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7B32BB">
        <w:trPr>
          <w:trHeight w:val="427"/>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A-6</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Communique de manière correcte, claire et adaptée avec son (ses) interlocuteur(s)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A-7</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Adopte une attitude favorable à l’écoute et aux échanges avec son (ses) interlocuteur(s)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7B32BB">
        <w:trPr>
          <w:trHeight w:val="499"/>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A-8</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Participe à la réflexion et au travail collectif mis en place dans son école</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7B32BB">
        <w:trPr>
          <w:trHeight w:val="412"/>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A-9</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Rend compte de son travail aux acteurs concernés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single" w:sz="8" w:space="0" w:color="auto"/>
              <w:left w:val="single" w:sz="8" w:space="0" w:color="auto"/>
              <w:bottom w:val="single" w:sz="4" w:space="0" w:color="auto"/>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A-10</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Connaît et met en œuvre les droits et obligations liés à l’usage du numérique dans ses pratiques professionnelles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828"/>
        </w:trPr>
        <w:tc>
          <w:tcPr>
            <w:tcW w:w="1653" w:type="dxa"/>
            <w:vMerge w:val="restart"/>
            <w:tcBorders>
              <w:top w:val="nil"/>
              <w:left w:val="single" w:sz="8" w:space="0" w:color="auto"/>
              <w:bottom w:val="single" w:sz="8" w:space="0" w:color="000000"/>
              <w:right w:val="single" w:sz="8" w:space="0" w:color="auto"/>
            </w:tcBorders>
            <w:shd w:val="clear" w:color="auto" w:fill="auto"/>
            <w:vAlign w:val="center"/>
            <w:hideMark/>
          </w:tcPr>
          <w:p w:rsidR="007B32BB" w:rsidRPr="00EE4A9C" w:rsidRDefault="007B32BB" w:rsidP="009545D8">
            <w:pPr>
              <w:widowControl/>
              <w:jc w:val="center"/>
              <w:rPr>
                <w:rFonts w:ascii="Arial" w:eastAsia="Times New Roman" w:hAnsi="Arial" w:cs="Arial"/>
                <w:b/>
                <w:bCs/>
                <w:color w:val="000000"/>
                <w:sz w:val="20"/>
                <w:szCs w:val="20"/>
                <w:lang w:eastAsia="fr-FR" w:bidi="ar-SA"/>
              </w:rPr>
            </w:pPr>
            <w:r w:rsidRPr="00EE4A9C">
              <w:rPr>
                <w:rFonts w:ascii="Arial" w:eastAsia="Times New Roman" w:hAnsi="Arial" w:cs="Arial"/>
                <w:b/>
                <w:bCs/>
                <w:color w:val="000000"/>
                <w:sz w:val="20"/>
                <w:szCs w:val="20"/>
                <w:lang w:eastAsia="fr-FR" w:bidi="ar-SA"/>
              </w:rPr>
              <w:t>Un professeur polyvalent, efficace dans la transmission des savoirs fondamentaux et la construction des apprentissages</w:t>
            </w:r>
          </w:p>
        </w:tc>
        <w:tc>
          <w:tcPr>
            <w:tcW w:w="820" w:type="dxa"/>
            <w:tcBorders>
              <w:top w:val="nil"/>
              <w:left w:val="nil"/>
              <w:bottom w:val="nil"/>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A-11</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Mobilise les ressources professionnelles (acquis de la recherche, références institutionnelles, orientations didactiques et pédagogiques) sur le développement de l’enfant et la construction de ses apprentissages pour étayer son action.</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A-12</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Maîtrise les savoirs disciplinaires et didactiques nécessaires à la mise en œuvre des programmes d’enseignement de l’école maternelle et de l’école élémentaire, en vue des acquisitions prévues dans le socle commun de connaissances, de compétences et de culture.</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A-13</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Assure la réussite des apprentissages fondamentaux de tous les élèves (lire, écrire, compter, respecter autrui) au regard des objectifs fixés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A-14</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Planifie des séquences d’enseignement-apprentissage structurées, mobilisant un cadre didactique et pédagogique répondant aux objectifs visés.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A-15</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Conduit un enseignement explicite, attentif aux besoins de chaque élève, en recourant à la coopération et à la différenciation.</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A-16</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Installe et entretient un cadre d’apprentissage dynamique et sécurisant, en traitant les tensions de manière appropriée lorsqu’elles surviennent</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7B32BB">
        <w:trPr>
          <w:trHeight w:val="859"/>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A-17</w:t>
            </w:r>
          </w:p>
        </w:tc>
        <w:tc>
          <w:tcPr>
            <w:tcW w:w="2975" w:type="dxa"/>
            <w:tcBorders>
              <w:top w:val="nil"/>
              <w:left w:val="nil"/>
              <w:bottom w:val="nil"/>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 xml:space="preserve">Sait utiliser les évaluations nationales ; Pratique différents types d’évaluation, dont l’observation et l’auto-évaluation, pour </w:t>
            </w:r>
            <w:r w:rsidRPr="00EE4A9C">
              <w:rPr>
                <w:rFonts w:ascii="Cambria Math" w:eastAsia="Times New Roman" w:hAnsi="Cambria Math" w:cs="Cambria Math"/>
                <w:color w:val="000000"/>
                <w:sz w:val="16"/>
                <w:szCs w:val="16"/>
                <w:lang w:eastAsia="fr-FR" w:bidi="ar-SA"/>
              </w:rPr>
              <w:t>⋅</w:t>
            </w:r>
            <w:r w:rsidRPr="00EE4A9C">
              <w:rPr>
                <w:rFonts w:ascii="Calibri" w:eastAsia="Times New Roman" w:hAnsi="Calibri" w:cs="Calibri"/>
                <w:color w:val="000000"/>
                <w:sz w:val="16"/>
                <w:szCs w:val="16"/>
                <w:lang w:eastAsia="fr-FR" w:bidi="ar-SA"/>
              </w:rPr>
              <w:t xml:space="preserve"> mesurer les acquis des élèves (résultats, processus)</w:t>
            </w:r>
          </w:p>
        </w:tc>
        <w:tc>
          <w:tcPr>
            <w:tcW w:w="2085" w:type="dxa"/>
            <w:tcBorders>
              <w:top w:val="nil"/>
              <w:left w:val="nil"/>
              <w:bottom w:val="nil"/>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nil"/>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851"/>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A-18</w:t>
            </w:r>
          </w:p>
        </w:tc>
        <w:tc>
          <w:tcPr>
            <w:tcW w:w="2975" w:type="dxa"/>
            <w:tcBorders>
              <w:top w:val="single" w:sz="8" w:space="0" w:color="auto"/>
              <w:left w:val="nil"/>
              <w:bottom w:val="single" w:sz="8" w:space="0" w:color="auto"/>
              <w:right w:val="single" w:sz="8" w:space="0" w:color="auto"/>
            </w:tcBorders>
            <w:shd w:val="clear" w:color="auto" w:fill="auto"/>
            <w:vAlign w:val="bottom"/>
            <w:hideMark/>
          </w:tcPr>
          <w:p w:rsidR="007B32BB" w:rsidRPr="00EE4A9C" w:rsidRDefault="007B32BB" w:rsidP="009545D8">
            <w:pPr>
              <w:widowControl/>
              <w:rPr>
                <w:rFonts w:ascii="Calibri" w:eastAsia="Times New Roman" w:hAnsi="Calibri" w:cs="Calibri"/>
                <w:sz w:val="16"/>
                <w:szCs w:val="16"/>
                <w:lang w:eastAsia="fr-FR" w:bidi="ar-SA"/>
              </w:rPr>
            </w:pPr>
            <w:r w:rsidRPr="00EE4A9C">
              <w:rPr>
                <w:rFonts w:ascii="Calibri" w:eastAsia="Times New Roman" w:hAnsi="Calibri" w:cs="Calibri"/>
                <w:sz w:val="16"/>
                <w:szCs w:val="16"/>
                <w:lang w:eastAsia="fr-FR" w:bidi="ar-SA"/>
              </w:rPr>
              <w:t>Sait utiliser les évaluations nationales ; Pratique différents types d’évaluation, dont l’observation et l’auto-évaluation, pour déterminer les actions d’accompagnement, de différenciation ou de remédiation répondant aux besoins identifiés</w:t>
            </w:r>
          </w:p>
        </w:tc>
        <w:tc>
          <w:tcPr>
            <w:tcW w:w="2085" w:type="dxa"/>
            <w:tcBorders>
              <w:top w:val="single" w:sz="8" w:space="0" w:color="auto"/>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sz w:val="16"/>
                <w:szCs w:val="16"/>
                <w:lang w:eastAsia="fr-FR" w:bidi="ar-SA"/>
              </w:rPr>
            </w:pPr>
          </w:p>
        </w:tc>
        <w:tc>
          <w:tcPr>
            <w:tcW w:w="2085" w:type="dxa"/>
            <w:tcBorders>
              <w:top w:val="single" w:sz="8" w:space="0" w:color="auto"/>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sz w:val="16"/>
                <w:szCs w:val="16"/>
                <w:lang w:eastAsia="fr-FR" w:bidi="ar-SA"/>
              </w:rPr>
            </w:pPr>
          </w:p>
        </w:tc>
      </w:tr>
      <w:tr w:rsidR="007B32BB" w:rsidRPr="00EE4A9C" w:rsidTr="009545D8">
        <w:trPr>
          <w:trHeight w:val="652"/>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A-19</w:t>
            </w:r>
          </w:p>
        </w:tc>
        <w:tc>
          <w:tcPr>
            <w:tcW w:w="2975" w:type="dxa"/>
            <w:tcBorders>
              <w:top w:val="nil"/>
              <w:left w:val="nil"/>
              <w:bottom w:val="single" w:sz="8" w:space="0" w:color="auto"/>
              <w:right w:val="single" w:sz="8" w:space="0" w:color="auto"/>
            </w:tcBorders>
            <w:shd w:val="clear" w:color="auto" w:fill="auto"/>
            <w:vAlign w:val="bottom"/>
            <w:hideMark/>
          </w:tcPr>
          <w:p w:rsidR="007B32BB" w:rsidRPr="00EE4A9C" w:rsidRDefault="007B32BB" w:rsidP="009545D8">
            <w:pPr>
              <w:widowControl/>
              <w:rPr>
                <w:rFonts w:ascii="Calibri" w:eastAsia="Times New Roman" w:hAnsi="Calibri" w:cs="Calibri"/>
                <w:sz w:val="16"/>
                <w:szCs w:val="16"/>
                <w:lang w:eastAsia="fr-FR" w:bidi="ar-SA"/>
              </w:rPr>
            </w:pPr>
            <w:r w:rsidRPr="00EE4A9C">
              <w:rPr>
                <w:rFonts w:ascii="Calibri" w:eastAsia="Times New Roman" w:hAnsi="Calibri" w:cs="Calibri"/>
                <w:sz w:val="16"/>
                <w:szCs w:val="16"/>
                <w:lang w:eastAsia="fr-FR" w:bidi="ar-SA"/>
              </w:rPr>
              <w:t>Sait utiliser les évaluations nationales ; Pratique différents types d’évaluation, dont l’observation et l’auto-évaluation, pour analyser ses pratiques pour les différencier et les adapter</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sz w:val="16"/>
                <w:szCs w:val="16"/>
                <w:lang w:eastAsia="fr-FR" w:bidi="ar-SA"/>
              </w:rPr>
            </w:pPr>
          </w:p>
        </w:tc>
      </w:tr>
      <w:tr w:rsidR="007B32BB" w:rsidRPr="00EE4A9C" w:rsidTr="009545D8">
        <w:trPr>
          <w:trHeight w:val="600"/>
        </w:trPr>
        <w:tc>
          <w:tcPr>
            <w:tcW w:w="1653" w:type="dxa"/>
            <w:vMerge w:val="restart"/>
            <w:tcBorders>
              <w:top w:val="nil"/>
              <w:left w:val="single" w:sz="8" w:space="0" w:color="auto"/>
              <w:bottom w:val="single" w:sz="8" w:space="0" w:color="000000"/>
              <w:right w:val="single" w:sz="8" w:space="0" w:color="auto"/>
            </w:tcBorders>
            <w:shd w:val="clear" w:color="auto" w:fill="auto"/>
            <w:vAlign w:val="center"/>
            <w:hideMark/>
          </w:tcPr>
          <w:p w:rsidR="007B32BB" w:rsidRPr="00EE4A9C" w:rsidRDefault="007B32BB" w:rsidP="009545D8">
            <w:pPr>
              <w:widowControl/>
              <w:jc w:val="center"/>
              <w:rPr>
                <w:rFonts w:ascii="Arial" w:eastAsia="Times New Roman" w:hAnsi="Arial" w:cs="Arial"/>
                <w:b/>
                <w:bCs/>
                <w:color w:val="000000"/>
                <w:sz w:val="20"/>
                <w:szCs w:val="20"/>
                <w:lang w:eastAsia="fr-FR" w:bidi="ar-SA"/>
              </w:rPr>
            </w:pPr>
            <w:r w:rsidRPr="00EE4A9C">
              <w:rPr>
                <w:rFonts w:ascii="Arial" w:eastAsia="Times New Roman" w:hAnsi="Arial" w:cs="Arial"/>
                <w:b/>
                <w:bCs/>
                <w:color w:val="000000"/>
                <w:sz w:val="20"/>
                <w:szCs w:val="20"/>
                <w:lang w:eastAsia="fr-FR" w:bidi="ar-SA"/>
              </w:rPr>
              <w:t xml:space="preserve"> Le professeur, praticien réflexif, acteur de son développement professionnel</w:t>
            </w: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A-20</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Mobilise des savoirs de recherche pour analyser des aspects précis de son enseignement et leur impact sur les élèves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A-21</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Intègre une dimension évaluative à l’ensemble de son action en ayant le souci d’en mesurer l’efficacité</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A-22</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Exerce une veille à visée de formation/information en lien avec son métier</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600"/>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A-23</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Exploite les possibilités offertes par les outils et les environnements numériques pour actualiser ses connaissances et communiquer avec ses pairs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258"/>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nil"/>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A-24.1</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Exprime ses besoins de formation pour actualiser ses savoirs,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438"/>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A24.2</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Exprime ses besoins de formation pour conforter et faire évoluer ses pratiques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r w:rsidR="007B32BB" w:rsidRPr="00EE4A9C" w:rsidTr="009545D8">
        <w:trPr>
          <w:trHeight w:val="438"/>
        </w:trPr>
        <w:tc>
          <w:tcPr>
            <w:tcW w:w="1653" w:type="dxa"/>
            <w:vMerge/>
            <w:tcBorders>
              <w:top w:val="nil"/>
              <w:left w:val="single" w:sz="8" w:space="0" w:color="auto"/>
              <w:bottom w:val="single" w:sz="8" w:space="0" w:color="000000"/>
              <w:right w:val="single" w:sz="8" w:space="0" w:color="auto"/>
            </w:tcBorders>
            <w:vAlign w:val="center"/>
            <w:hideMark/>
          </w:tcPr>
          <w:p w:rsidR="007B32BB" w:rsidRPr="00EE4A9C" w:rsidRDefault="007B32BB" w:rsidP="009545D8">
            <w:pPr>
              <w:widowControl/>
              <w:rPr>
                <w:rFonts w:ascii="Arial" w:eastAsia="Times New Roman" w:hAnsi="Arial" w:cs="Arial"/>
                <w:b/>
                <w:bCs/>
                <w:color w:val="000000"/>
                <w:sz w:val="20"/>
                <w:szCs w:val="20"/>
                <w:lang w:eastAsia="fr-FR" w:bidi="ar-SA"/>
              </w:rPr>
            </w:pPr>
          </w:p>
        </w:tc>
        <w:tc>
          <w:tcPr>
            <w:tcW w:w="820" w:type="dxa"/>
            <w:tcBorders>
              <w:top w:val="nil"/>
              <w:left w:val="nil"/>
              <w:bottom w:val="single" w:sz="8" w:space="0" w:color="auto"/>
              <w:right w:val="single" w:sz="8" w:space="0" w:color="auto"/>
            </w:tcBorders>
            <w:shd w:val="clear" w:color="auto" w:fill="auto"/>
            <w:noWrap/>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A-25</w:t>
            </w:r>
          </w:p>
        </w:tc>
        <w:tc>
          <w:tcPr>
            <w:tcW w:w="2975" w:type="dxa"/>
            <w:tcBorders>
              <w:top w:val="nil"/>
              <w:left w:val="nil"/>
              <w:bottom w:val="single" w:sz="8" w:space="0" w:color="auto"/>
              <w:right w:val="single" w:sz="8" w:space="0" w:color="auto"/>
            </w:tcBorders>
            <w:shd w:val="clear" w:color="auto" w:fill="auto"/>
            <w:vAlign w:val="center"/>
            <w:hideMark/>
          </w:tcPr>
          <w:p w:rsidR="007B32BB" w:rsidRPr="00EE4A9C" w:rsidRDefault="007B32BB" w:rsidP="009545D8">
            <w:pPr>
              <w:widowControl/>
              <w:rPr>
                <w:rFonts w:ascii="Calibri" w:eastAsia="Times New Roman" w:hAnsi="Calibri" w:cs="Calibri"/>
                <w:color w:val="000000"/>
                <w:sz w:val="16"/>
                <w:szCs w:val="16"/>
                <w:lang w:eastAsia="fr-FR" w:bidi="ar-SA"/>
              </w:rPr>
            </w:pPr>
            <w:r w:rsidRPr="00EE4A9C">
              <w:rPr>
                <w:rFonts w:ascii="Calibri" w:eastAsia="Times New Roman" w:hAnsi="Calibri" w:cs="Calibri"/>
                <w:color w:val="000000"/>
                <w:sz w:val="16"/>
                <w:szCs w:val="16"/>
                <w:lang w:eastAsia="fr-FR" w:bidi="ar-SA"/>
              </w:rPr>
              <w:t>Prend en compte les conseils ou recommandations qui lui sont donnés (</w:t>
            </w:r>
            <w:proofErr w:type="spellStart"/>
            <w:r w:rsidRPr="00EE4A9C">
              <w:rPr>
                <w:rFonts w:ascii="Calibri" w:eastAsia="Times New Roman" w:hAnsi="Calibri" w:cs="Calibri"/>
                <w:color w:val="000000"/>
                <w:sz w:val="16"/>
                <w:szCs w:val="16"/>
                <w:lang w:eastAsia="fr-FR" w:bidi="ar-SA"/>
              </w:rPr>
              <w:t>auto-positionnement</w:t>
            </w:r>
            <w:proofErr w:type="spellEnd"/>
            <w:r w:rsidRPr="00EE4A9C">
              <w:rPr>
                <w:rFonts w:ascii="Calibri" w:eastAsia="Times New Roman" w:hAnsi="Calibri" w:cs="Calibri"/>
                <w:color w:val="000000"/>
                <w:sz w:val="16"/>
                <w:szCs w:val="16"/>
                <w:lang w:eastAsia="fr-FR" w:bidi="ar-SA"/>
              </w:rPr>
              <w:t>, entretiens)</w:t>
            </w: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c>
          <w:tcPr>
            <w:tcW w:w="2085" w:type="dxa"/>
            <w:tcBorders>
              <w:top w:val="nil"/>
              <w:left w:val="nil"/>
              <w:bottom w:val="single" w:sz="8" w:space="0" w:color="auto"/>
              <w:right w:val="single" w:sz="8" w:space="0" w:color="auto"/>
            </w:tcBorders>
          </w:tcPr>
          <w:p w:rsidR="007B32BB" w:rsidRPr="00EE4A9C" w:rsidRDefault="007B32BB" w:rsidP="009545D8">
            <w:pPr>
              <w:widowControl/>
              <w:rPr>
                <w:rFonts w:ascii="Calibri" w:eastAsia="Times New Roman" w:hAnsi="Calibri" w:cs="Calibri"/>
                <w:color w:val="000000"/>
                <w:sz w:val="16"/>
                <w:szCs w:val="16"/>
                <w:lang w:eastAsia="fr-FR" w:bidi="ar-SA"/>
              </w:rPr>
            </w:pPr>
          </w:p>
        </w:tc>
      </w:tr>
    </w:tbl>
    <w:p w:rsidR="007B32BB" w:rsidRDefault="007B32BB" w:rsidP="007B32BB">
      <w:pPr>
        <w:jc w:val="both"/>
        <w:rPr>
          <w:rFonts w:cstheme="minorHAnsi"/>
          <w:sz w:val="20"/>
          <w:szCs w:val="20"/>
        </w:rPr>
      </w:pPr>
    </w:p>
    <w:p w:rsidR="007B32BB" w:rsidRPr="00E11D1C" w:rsidRDefault="007B32BB" w:rsidP="007B32BB">
      <w:pPr>
        <w:pStyle w:val="Textbody"/>
        <w:rPr>
          <w:rFonts w:ascii="Arial" w:hAnsi="Arial" w:cs="Arial"/>
          <w:sz w:val="18"/>
          <w:szCs w:val="18"/>
        </w:rPr>
      </w:pPr>
      <w:r w:rsidRPr="00E11D1C">
        <w:rPr>
          <w:rFonts w:ascii="Arial" w:hAnsi="Arial" w:cs="Arial"/>
          <w:bCs/>
          <w:sz w:val="18"/>
          <w:szCs w:val="18"/>
        </w:rPr>
        <w:t>Le référentiel national de formation défini les compétences attendues en fin de formation initiale en niveaux de maîtrise sur une échelle de 0 à 4</w:t>
      </w:r>
      <w:r w:rsidRPr="00E11D1C">
        <w:rPr>
          <w:rFonts w:ascii="Arial" w:hAnsi="Arial" w:cs="Arial"/>
          <w:sz w:val="18"/>
          <w:szCs w:val="18"/>
        </w:rPr>
        <w:t> afin de prendre en compte la diversité des profils des formés :</w:t>
      </w:r>
    </w:p>
    <w:p w:rsidR="007B32BB" w:rsidRPr="00E11D1C" w:rsidRDefault="007B32BB" w:rsidP="007B32BB">
      <w:pPr>
        <w:pStyle w:val="Textbody"/>
        <w:numPr>
          <w:ilvl w:val="0"/>
          <w:numId w:val="1"/>
        </w:numPr>
        <w:rPr>
          <w:rFonts w:ascii="Arial" w:hAnsi="Arial" w:cs="Arial"/>
          <w:sz w:val="18"/>
          <w:szCs w:val="18"/>
        </w:rPr>
      </w:pPr>
      <w:r w:rsidRPr="00E11D1C">
        <w:rPr>
          <w:rFonts w:ascii="Arial" w:hAnsi="Arial" w:cs="Arial"/>
          <w:b/>
          <w:bCs/>
          <w:sz w:val="18"/>
          <w:szCs w:val="18"/>
        </w:rPr>
        <w:t>Niveau 0</w:t>
      </w:r>
      <w:r w:rsidRPr="00E11D1C">
        <w:rPr>
          <w:rFonts w:ascii="Arial" w:hAnsi="Arial" w:cs="Arial"/>
          <w:sz w:val="18"/>
          <w:szCs w:val="18"/>
        </w:rPr>
        <w:t> :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rsidR="007B32BB" w:rsidRPr="00E11D1C" w:rsidRDefault="007B32BB" w:rsidP="007B32BB">
      <w:pPr>
        <w:pStyle w:val="Textbody"/>
        <w:numPr>
          <w:ilvl w:val="0"/>
          <w:numId w:val="1"/>
        </w:numPr>
        <w:rPr>
          <w:rFonts w:ascii="Arial" w:hAnsi="Arial" w:cs="Arial"/>
          <w:sz w:val="18"/>
          <w:szCs w:val="18"/>
        </w:rPr>
      </w:pPr>
      <w:r w:rsidRPr="00E11D1C">
        <w:rPr>
          <w:rFonts w:ascii="Arial" w:hAnsi="Arial" w:cs="Arial"/>
          <w:b/>
          <w:bCs/>
          <w:sz w:val="18"/>
          <w:szCs w:val="18"/>
        </w:rPr>
        <w:t>Niveau 1</w:t>
      </w:r>
      <w:r w:rsidRPr="00E11D1C">
        <w:rPr>
          <w:rFonts w:ascii="Arial" w:hAnsi="Arial" w:cs="Arial"/>
          <w:sz w:val="18"/>
          <w:szCs w:val="18"/>
        </w:rPr>
        <w:t>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rsidR="007B32BB" w:rsidRPr="00E11D1C" w:rsidRDefault="007B32BB" w:rsidP="007B32BB">
      <w:pPr>
        <w:pStyle w:val="Textbody"/>
        <w:numPr>
          <w:ilvl w:val="0"/>
          <w:numId w:val="1"/>
        </w:numPr>
        <w:rPr>
          <w:rFonts w:ascii="Arial" w:hAnsi="Arial" w:cs="Arial"/>
          <w:sz w:val="18"/>
          <w:szCs w:val="18"/>
        </w:rPr>
      </w:pPr>
      <w:r w:rsidRPr="00E11D1C">
        <w:rPr>
          <w:rFonts w:ascii="Arial" w:hAnsi="Arial" w:cs="Arial"/>
          <w:b/>
          <w:bCs/>
          <w:sz w:val="18"/>
          <w:szCs w:val="18"/>
        </w:rPr>
        <w:t>Niveau 2</w:t>
      </w:r>
      <w:r w:rsidRPr="00E11D1C">
        <w:rPr>
          <w:rFonts w:ascii="Arial" w:hAnsi="Arial" w:cs="Arial"/>
          <w:sz w:val="18"/>
          <w:szCs w:val="18"/>
        </w:rPr>
        <w:t>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rsidR="007B32BB" w:rsidRPr="00E11D1C" w:rsidRDefault="007B32BB" w:rsidP="007B32BB">
      <w:pPr>
        <w:pStyle w:val="Textbody"/>
        <w:numPr>
          <w:ilvl w:val="0"/>
          <w:numId w:val="1"/>
        </w:numPr>
        <w:rPr>
          <w:rFonts w:ascii="Arial" w:hAnsi="Arial" w:cs="Arial"/>
          <w:sz w:val="18"/>
          <w:szCs w:val="18"/>
        </w:rPr>
      </w:pPr>
      <w:r w:rsidRPr="00E11D1C">
        <w:rPr>
          <w:rFonts w:ascii="Arial" w:hAnsi="Arial" w:cs="Arial"/>
          <w:b/>
          <w:bCs/>
          <w:sz w:val="18"/>
          <w:szCs w:val="18"/>
        </w:rPr>
        <w:t>Niveau 3</w:t>
      </w:r>
      <w:r w:rsidRPr="00E11D1C">
        <w:rPr>
          <w:rFonts w:ascii="Arial" w:hAnsi="Arial" w:cs="Arial"/>
          <w:sz w:val="18"/>
          <w:szCs w:val="18"/>
        </w:rPr>
        <w:t> : exerce les compétences visées de manière combinée avec efficacité sur la durée. Il opère les choix pertinents et les met en œuvre de manière efficace et adaptée à la situation professionnelle rencontrée, y compris une situation imprévisible.</w:t>
      </w:r>
    </w:p>
    <w:p w:rsidR="007B32BB" w:rsidRPr="00E11D1C" w:rsidRDefault="007B32BB" w:rsidP="007B32BB">
      <w:pPr>
        <w:pStyle w:val="Textbody"/>
        <w:numPr>
          <w:ilvl w:val="0"/>
          <w:numId w:val="1"/>
        </w:numPr>
        <w:rPr>
          <w:rFonts w:ascii="Arial" w:hAnsi="Arial" w:cs="Arial"/>
          <w:sz w:val="18"/>
          <w:szCs w:val="18"/>
        </w:rPr>
      </w:pPr>
      <w:r w:rsidRPr="00E11D1C">
        <w:rPr>
          <w:rFonts w:ascii="Arial" w:hAnsi="Arial" w:cs="Arial"/>
          <w:b/>
          <w:bCs/>
          <w:sz w:val="18"/>
          <w:szCs w:val="18"/>
        </w:rPr>
        <w:t>Niveau 4</w:t>
      </w:r>
      <w:r w:rsidRPr="00E11D1C">
        <w:rPr>
          <w:rFonts w:ascii="Arial" w:hAnsi="Arial" w:cs="Arial"/>
          <w:sz w:val="18"/>
          <w:szCs w:val="18"/>
        </w:rPr>
        <w:t xml:space="preserve"> : démontre la capacité à mobiliser les compétences visées de manière </w:t>
      </w:r>
      <w:proofErr w:type="spellStart"/>
      <w:r w:rsidRPr="00E11D1C">
        <w:rPr>
          <w:rFonts w:ascii="Arial" w:hAnsi="Arial" w:cs="Arial"/>
          <w:sz w:val="18"/>
          <w:szCs w:val="18"/>
        </w:rPr>
        <w:t>inter-reliée</w:t>
      </w:r>
      <w:proofErr w:type="spellEnd"/>
      <w:r w:rsidRPr="00E11D1C">
        <w:rPr>
          <w:rFonts w:ascii="Arial" w:hAnsi="Arial" w:cs="Arial"/>
          <w:sz w:val="18"/>
          <w:szCs w:val="18"/>
        </w:rPr>
        <w:t xml:space="preserve"> pour appréhender et gérer un contexte professionnel complexe, à faire preuve d’ingéniosité pédagogique pour faire évoluer le cadre dans le respect des principes éthiques.</w:t>
      </w:r>
    </w:p>
    <w:p w:rsidR="007B32BB" w:rsidRPr="00E11D1C" w:rsidRDefault="007B32BB" w:rsidP="007B32BB">
      <w:pPr>
        <w:pStyle w:val="Textbody"/>
        <w:rPr>
          <w:rFonts w:ascii="Arial" w:hAnsi="Arial" w:cs="Arial"/>
          <w:sz w:val="18"/>
          <w:szCs w:val="18"/>
        </w:rPr>
      </w:pPr>
    </w:p>
    <w:p w:rsidR="007B32BB" w:rsidRPr="00E11D1C" w:rsidRDefault="007B32BB" w:rsidP="007B32BB">
      <w:pPr>
        <w:pStyle w:val="Textbody"/>
        <w:rPr>
          <w:rFonts w:cstheme="minorHAnsi"/>
          <w:sz w:val="18"/>
          <w:szCs w:val="18"/>
        </w:rPr>
      </w:pPr>
      <w:r w:rsidRPr="00E11D1C">
        <w:rPr>
          <w:rFonts w:ascii="Arial" w:hAnsi="Arial" w:cs="Arial"/>
          <w:bCs/>
          <w:sz w:val="18"/>
          <w:szCs w:val="18"/>
        </w:rPr>
        <w:t>La formation dispensée doit permettre aux étudiants du master MEEF mention premier degré d'atteindre</w:t>
      </w:r>
      <w:r w:rsidRPr="00E11D1C">
        <w:rPr>
          <w:rFonts w:ascii="Arial" w:hAnsi="Arial" w:cs="Arial"/>
          <w:b/>
          <w:bCs/>
          <w:sz w:val="18"/>
          <w:szCs w:val="18"/>
        </w:rPr>
        <w:t xml:space="preserve"> au minimum le niveau 2 </w:t>
      </w:r>
      <w:r w:rsidRPr="00E11D1C">
        <w:rPr>
          <w:rFonts w:ascii="Arial" w:hAnsi="Arial" w:cs="Arial"/>
          <w:bCs/>
          <w:sz w:val="18"/>
          <w:szCs w:val="18"/>
        </w:rPr>
        <w:t>dans l'ensemble des attendus</w:t>
      </w:r>
      <w:r w:rsidRPr="00E11D1C">
        <w:rPr>
          <w:rStyle w:val="Appelnotedebasdep"/>
          <w:rFonts w:ascii="Arial" w:hAnsi="Arial" w:cs="Arial"/>
          <w:bCs/>
          <w:sz w:val="18"/>
          <w:szCs w:val="18"/>
        </w:rPr>
        <w:footnoteReference w:id="1"/>
      </w:r>
      <w:r w:rsidRPr="00E11D1C">
        <w:rPr>
          <w:rFonts w:ascii="Arial" w:hAnsi="Arial" w:cs="Arial"/>
          <w:bCs/>
          <w:sz w:val="18"/>
          <w:szCs w:val="18"/>
        </w:rPr>
        <w:t>.</w:t>
      </w:r>
    </w:p>
    <w:p w:rsidR="006C46BC" w:rsidRDefault="006C46BC"/>
    <w:sectPr w:rsidR="006C46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633" w:rsidRDefault="004F1633" w:rsidP="007B32BB">
      <w:r>
        <w:separator/>
      </w:r>
    </w:p>
  </w:endnote>
  <w:endnote w:type="continuationSeparator" w:id="0">
    <w:p w:rsidR="004F1633" w:rsidRDefault="004F1633" w:rsidP="007B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Calibri"/>
    <w:charset w:val="00"/>
    <w:family w:val="auto"/>
    <w:pitch w:val="default"/>
  </w:font>
  <w:font w:name="lohit hindi">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633" w:rsidRDefault="004F1633" w:rsidP="007B32BB">
      <w:r>
        <w:separator/>
      </w:r>
    </w:p>
  </w:footnote>
  <w:footnote w:type="continuationSeparator" w:id="0">
    <w:p w:rsidR="004F1633" w:rsidRDefault="004F1633" w:rsidP="007B32BB">
      <w:r>
        <w:continuationSeparator/>
      </w:r>
    </w:p>
  </w:footnote>
  <w:footnote w:id="1">
    <w:p w:rsidR="007B32BB" w:rsidRDefault="007B32BB" w:rsidP="007B32BB">
      <w:pPr>
        <w:pStyle w:val="Notedebasdepage"/>
      </w:pPr>
      <w:r>
        <w:rPr>
          <w:rStyle w:val="Appelnotedebasdep"/>
        </w:rPr>
        <w:footnoteRef/>
      </w:r>
      <w:r>
        <w:t xml:space="preserve"> </w:t>
      </w:r>
      <w:r w:rsidRPr="00016C84">
        <w:t xml:space="preserve">  https://www.devenirenseignant.gouv.fr/cid142150/former-aux-metiers-du-professorat-et-de-l-education-au-21e-siecle.html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205AB"/>
    <w:multiLevelType w:val="hybridMultilevel"/>
    <w:tmpl w:val="66BEE7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BB"/>
    <w:rsid w:val="004F1633"/>
    <w:rsid w:val="004F1C5D"/>
    <w:rsid w:val="006C46BC"/>
    <w:rsid w:val="007B32BB"/>
    <w:rsid w:val="00F67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F8BC"/>
  <w15:chartTrackingRefBased/>
  <w15:docId w15:val="{3BBDAE4F-F0F2-4EEC-9C93-079C44F3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BB"/>
    <w:pPr>
      <w:widowControl w:val="0"/>
      <w:spacing w:after="0" w:line="240" w:lineRule="auto"/>
    </w:pPr>
    <w:rPr>
      <w:rFonts w:ascii="Liberation Serif" w:eastAsia="wenquanyi micro hei" w:hAnsi="Liberation Serif" w:cs="lohit hindi"/>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7B32BB"/>
    <w:pPr>
      <w:spacing w:after="40"/>
    </w:pPr>
    <w:rPr>
      <w:sz w:val="18"/>
    </w:rPr>
  </w:style>
  <w:style w:type="character" w:customStyle="1" w:styleId="NotedebasdepageCar">
    <w:name w:val="Note de bas de page Car"/>
    <w:basedOn w:val="Policepardfaut"/>
    <w:link w:val="Notedebasdepage"/>
    <w:uiPriority w:val="99"/>
    <w:qFormat/>
    <w:rsid w:val="007B32BB"/>
    <w:rPr>
      <w:rFonts w:ascii="Liberation Serif" w:eastAsia="wenquanyi micro hei" w:hAnsi="Liberation Serif" w:cs="lohit hindi"/>
      <w:sz w:val="18"/>
      <w:szCs w:val="24"/>
      <w:lang w:eastAsia="zh-CN" w:bidi="hi-IN"/>
    </w:rPr>
  </w:style>
  <w:style w:type="character" w:styleId="Appelnotedebasdep">
    <w:name w:val="footnote reference"/>
    <w:basedOn w:val="Policepardfaut"/>
    <w:unhideWhenUsed/>
    <w:qFormat/>
    <w:rsid w:val="007B32BB"/>
    <w:rPr>
      <w:vertAlign w:val="superscript"/>
    </w:rPr>
  </w:style>
  <w:style w:type="paragraph" w:customStyle="1" w:styleId="Standard">
    <w:name w:val="Standard"/>
    <w:link w:val="StandardCar"/>
    <w:uiPriority w:val="99"/>
    <w:rsid w:val="007B32BB"/>
    <w:pPr>
      <w:spacing w:after="200" w:line="276" w:lineRule="auto"/>
    </w:pPr>
    <w:rPr>
      <w:rFonts w:ascii="Calibri" w:eastAsia="Calibri" w:hAnsi="Calibri" w:cs="Times New Roman"/>
      <w:lang w:eastAsia="zh-CN"/>
    </w:rPr>
  </w:style>
  <w:style w:type="paragraph" w:customStyle="1" w:styleId="Textbody">
    <w:name w:val="Text body"/>
    <w:basedOn w:val="Standard"/>
    <w:rsid w:val="007B32BB"/>
    <w:pPr>
      <w:spacing w:after="0" w:line="240" w:lineRule="auto"/>
      <w:jc w:val="both"/>
    </w:pPr>
    <w:rPr>
      <w:rFonts w:ascii="Comic Sans MS" w:eastAsia="Times New Roman" w:hAnsi="Comic Sans MS" w:cs="Comic Sans MS"/>
      <w:sz w:val="24"/>
      <w:szCs w:val="24"/>
    </w:rPr>
  </w:style>
  <w:style w:type="paragraph" w:styleId="Titre">
    <w:name w:val="Title"/>
    <w:basedOn w:val="Normal"/>
    <w:next w:val="Textbody"/>
    <w:link w:val="TitreCar"/>
    <w:qFormat/>
    <w:rsid w:val="007B32BB"/>
    <w:pPr>
      <w:keepNext/>
      <w:widowControl/>
      <w:jc w:val="center"/>
    </w:pPr>
    <w:rPr>
      <w:rFonts w:ascii="Arial" w:hAnsi="Arial"/>
      <w:b/>
      <w:bCs/>
      <w:caps/>
      <w:color w:val="00518E"/>
      <w:sz w:val="28"/>
      <w:szCs w:val="56"/>
      <w:lang w:bidi="ar-SA"/>
    </w:rPr>
  </w:style>
  <w:style w:type="character" w:customStyle="1" w:styleId="TitreCar">
    <w:name w:val="Titre Car"/>
    <w:basedOn w:val="Policepardfaut"/>
    <w:link w:val="Titre"/>
    <w:rsid w:val="007B32BB"/>
    <w:rPr>
      <w:rFonts w:ascii="Arial" w:eastAsia="wenquanyi micro hei" w:hAnsi="Arial" w:cs="lohit hindi"/>
      <w:b/>
      <w:bCs/>
      <w:caps/>
      <w:color w:val="00518E"/>
      <w:sz w:val="28"/>
      <w:szCs w:val="56"/>
      <w:lang w:eastAsia="zh-CN"/>
    </w:rPr>
  </w:style>
  <w:style w:type="character" w:customStyle="1" w:styleId="StandardCar">
    <w:name w:val="Standard Car"/>
    <w:basedOn w:val="Policepardfaut"/>
    <w:link w:val="Standard"/>
    <w:uiPriority w:val="99"/>
    <w:rsid w:val="007B32BB"/>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Monfroy</dc:creator>
  <cp:keywords/>
  <dc:description/>
  <cp:lastModifiedBy>Brigitte Monfroy</cp:lastModifiedBy>
  <cp:revision>2</cp:revision>
  <dcterms:created xsi:type="dcterms:W3CDTF">2022-04-05T13:08:00Z</dcterms:created>
  <dcterms:modified xsi:type="dcterms:W3CDTF">2022-04-05T13:15:00Z</dcterms:modified>
</cp:coreProperties>
</file>